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031" w:type="dxa"/>
        <w:tblLook w:val="04A0" w:firstRow="1" w:lastRow="0" w:firstColumn="1" w:lastColumn="0" w:noHBand="0" w:noVBand="1"/>
      </w:tblPr>
      <w:tblGrid>
        <w:gridCol w:w="4755"/>
      </w:tblGrid>
      <w:tr w:rsidR="00403C1B" w:rsidRPr="009D6B6C" w:rsidTr="00FE7975">
        <w:tc>
          <w:tcPr>
            <w:tcW w:w="4755" w:type="dxa"/>
            <w:shd w:val="clear" w:color="auto" w:fill="auto"/>
          </w:tcPr>
          <w:p w:rsidR="00403C1B" w:rsidRPr="00BE4AA6" w:rsidRDefault="00403C1B"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Утвержден</w:t>
            </w:r>
          </w:p>
          <w:p w:rsidR="00403C1B" w:rsidRPr="00BE4AA6" w:rsidRDefault="00403C1B"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постановлени</w:t>
            </w:r>
            <w:r>
              <w:rPr>
                <w:rFonts w:ascii="Liberation Serif" w:eastAsia="Times New Roman" w:hAnsi="Liberation Serif"/>
                <w:lang w:eastAsia="ru-RU"/>
              </w:rPr>
              <w:t>ем</w:t>
            </w:r>
            <w:r w:rsidRPr="00BE4AA6">
              <w:rPr>
                <w:rFonts w:ascii="Liberation Serif" w:eastAsia="Times New Roman" w:hAnsi="Liberation Serif"/>
                <w:lang w:eastAsia="ru-RU"/>
              </w:rPr>
              <w:t xml:space="preserve"> Главы</w:t>
            </w:r>
          </w:p>
          <w:p w:rsidR="00403C1B" w:rsidRPr="00BE4AA6" w:rsidRDefault="00403C1B"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МО «Каменский городской округ»</w:t>
            </w:r>
          </w:p>
          <w:p w:rsidR="00403C1B" w:rsidRPr="001A13F0" w:rsidRDefault="00403C1B" w:rsidP="00FE7975">
            <w:pPr>
              <w:tabs>
                <w:tab w:val="left" w:pos="0"/>
              </w:tabs>
              <w:spacing w:after="0" w:line="240" w:lineRule="auto"/>
              <w:rPr>
                <w:rFonts w:ascii="Liberation Serif" w:hAnsi="Liberation Serif"/>
                <w:sz w:val="24"/>
                <w:szCs w:val="24"/>
                <w:u w:val="single"/>
                <w:lang w:eastAsia="ru-RU"/>
              </w:rPr>
            </w:pPr>
            <w:r w:rsidRPr="006923CC">
              <w:rPr>
                <w:rFonts w:ascii="Liberation Serif" w:eastAsia="Times New Roman" w:hAnsi="Liberation Serif"/>
                <w:lang w:eastAsia="ru-RU"/>
              </w:rPr>
              <w:t xml:space="preserve">от </w:t>
            </w:r>
            <w:r w:rsidR="001A13F0">
              <w:rPr>
                <w:rFonts w:ascii="Liberation Serif" w:eastAsia="Times New Roman" w:hAnsi="Liberation Serif"/>
                <w:u w:val="single"/>
                <w:lang w:eastAsia="ru-RU"/>
              </w:rPr>
              <w:t>27.01.2023</w:t>
            </w:r>
            <w:r w:rsidRPr="006923CC">
              <w:rPr>
                <w:rFonts w:ascii="Liberation Serif" w:eastAsia="Times New Roman" w:hAnsi="Liberation Serif"/>
                <w:lang w:eastAsia="ru-RU"/>
              </w:rPr>
              <w:t xml:space="preserve"> № </w:t>
            </w:r>
            <w:r w:rsidR="001A13F0">
              <w:rPr>
                <w:rFonts w:ascii="Liberation Serif" w:eastAsia="Times New Roman" w:hAnsi="Liberation Serif"/>
                <w:u w:val="single"/>
                <w:lang w:eastAsia="ru-RU"/>
              </w:rPr>
              <w:t>126</w:t>
            </w:r>
            <w:bookmarkStart w:id="0" w:name="_GoBack"/>
            <w:bookmarkEnd w:id="0"/>
          </w:p>
          <w:p w:rsidR="00403C1B" w:rsidRPr="003A4CF3" w:rsidRDefault="00403C1B" w:rsidP="00FE7975">
            <w:pPr>
              <w:tabs>
                <w:tab w:val="left" w:pos="3502"/>
              </w:tabs>
              <w:spacing w:after="0" w:line="240" w:lineRule="auto"/>
              <w:rPr>
                <w:rFonts w:ascii="Liberation Serif" w:hAnsi="Liberation Serif"/>
                <w:sz w:val="20"/>
                <w:szCs w:val="20"/>
                <w:lang w:eastAsia="ru-RU"/>
              </w:rPr>
            </w:pPr>
            <w:proofErr w:type="gramStart"/>
            <w:r w:rsidRPr="003A4CF3">
              <w:rPr>
                <w:rFonts w:ascii="Liberation Serif" w:hAnsi="Liberation Serif"/>
                <w:sz w:val="20"/>
                <w:szCs w:val="20"/>
                <w:lang w:eastAsia="ru-RU"/>
              </w:rPr>
              <w:t>«</w:t>
            </w:r>
            <w:r w:rsidRPr="00A90736">
              <w:rPr>
                <w:rFonts w:ascii="Liberation Serif" w:hAnsi="Liberation Serif"/>
                <w:sz w:val="20"/>
                <w:szCs w:val="20"/>
                <w:lang w:eastAsia="ru-RU"/>
              </w:rPr>
              <w:t>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w:t>
            </w:r>
            <w:proofErr w:type="gramEnd"/>
            <w:r w:rsidRPr="00A90736">
              <w:rPr>
                <w:rFonts w:ascii="Liberation Serif" w:hAnsi="Liberation Serif"/>
                <w:sz w:val="20"/>
                <w:szCs w:val="20"/>
                <w:lang w:eastAsia="ru-RU"/>
              </w:rPr>
              <w:t>»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3A4CF3">
              <w:rPr>
                <w:rFonts w:ascii="Liberation Serif" w:hAnsi="Liberation Serif"/>
                <w:sz w:val="20"/>
                <w:szCs w:val="20"/>
                <w:lang w:eastAsia="ru-RU"/>
              </w:rPr>
              <w:t>»</w:t>
            </w:r>
          </w:p>
        </w:tc>
      </w:tr>
    </w:tbl>
    <w:p w:rsidR="00403C1B" w:rsidRDefault="00403C1B" w:rsidP="00403C1B">
      <w:pPr>
        <w:tabs>
          <w:tab w:val="left" w:pos="3502"/>
        </w:tabs>
        <w:spacing w:after="0" w:line="240" w:lineRule="auto"/>
        <w:jc w:val="center"/>
        <w:rPr>
          <w:rFonts w:ascii="Liberation Serif" w:hAnsi="Liberation Serif"/>
          <w:sz w:val="24"/>
          <w:szCs w:val="24"/>
          <w:lang w:eastAsia="ru-RU"/>
        </w:rPr>
      </w:pPr>
    </w:p>
    <w:p w:rsidR="00403C1B" w:rsidRPr="003A4CF3" w:rsidRDefault="00403C1B" w:rsidP="00403C1B">
      <w:pPr>
        <w:tabs>
          <w:tab w:val="left" w:pos="3502"/>
        </w:tabs>
        <w:spacing w:after="0" w:line="240" w:lineRule="auto"/>
        <w:jc w:val="center"/>
        <w:rPr>
          <w:rFonts w:ascii="Liberation Serif" w:hAnsi="Liberation Serif"/>
          <w:b/>
          <w:sz w:val="20"/>
          <w:szCs w:val="20"/>
          <w:lang w:eastAsia="ru-RU"/>
        </w:rPr>
      </w:pPr>
      <w:r w:rsidRPr="003A4CF3">
        <w:rPr>
          <w:rFonts w:ascii="Liberation Serif" w:hAnsi="Liberation Serif"/>
          <w:b/>
          <w:sz w:val="20"/>
          <w:szCs w:val="20"/>
          <w:lang w:eastAsia="ru-RU"/>
        </w:rPr>
        <w:t xml:space="preserve">Градация </w:t>
      </w:r>
    </w:p>
    <w:p w:rsidR="00403C1B" w:rsidRDefault="00403C1B" w:rsidP="00403C1B">
      <w:pPr>
        <w:tabs>
          <w:tab w:val="left" w:pos="3502"/>
        </w:tabs>
        <w:spacing w:after="0" w:line="240" w:lineRule="auto"/>
        <w:jc w:val="center"/>
        <w:rPr>
          <w:rFonts w:ascii="Liberation Serif" w:hAnsi="Liberation Serif"/>
          <w:b/>
          <w:sz w:val="20"/>
          <w:szCs w:val="20"/>
          <w:lang w:eastAsia="ru-RU"/>
        </w:rPr>
      </w:pPr>
      <w:r w:rsidRPr="00E57F92">
        <w:rPr>
          <w:rFonts w:ascii="Liberation Serif" w:hAnsi="Liberation Serif"/>
          <w:b/>
          <w:sz w:val="20"/>
          <w:szCs w:val="20"/>
          <w:lang w:eastAsia="ru-RU"/>
        </w:rPr>
        <w:t xml:space="preserve">степени выраженности параметров «вероятность реализации» и «возможный вред»  коррупционных рисков </w:t>
      </w:r>
      <w:r w:rsidRPr="00323E7F">
        <w:rPr>
          <w:rFonts w:ascii="Liberation Serif" w:hAnsi="Liberation Serif"/>
          <w:b/>
          <w:sz w:val="20"/>
          <w:szCs w:val="20"/>
          <w:lang w:eastAsia="ru-RU"/>
        </w:rPr>
        <w:t>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p>
    <w:p w:rsidR="00403C1B" w:rsidRPr="00E57F92" w:rsidRDefault="00403C1B" w:rsidP="00403C1B">
      <w:pPr>
        <w:tabs>
          <w:tab w:val="left" w:pos="3502"/>
        </w:tabs>
        <w:spacing w:after="0" w:line="240" w:lineRule="auto"/>
        <w:jc w:val="center"/>
        <w:rPr>
          <w:rFonts w:ascii="Liberation Serif" w:hAnsi="Liberation Serif"/>
          <w:b/>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678"/>
        <w:gridCol w:w="4819"/>
      </w:tblGrid>
      <w:tr w:rsidR="00403C1B" w:rsidRPr="003A4CF3" w:rsidTr="00FE7975">
        <w:tc>
          <w:tcPr>
            <w:tcW w:w="817"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 xml:space="preserve">№ </w:t>
            </w:r>
            <w:proofErr w:type="gramStart"/>
            <w:r w:rsidRPr="003A4CF3">
              <w:rPr>
                <w:rFonts w:ascii="Liberation Serif" w:hAnsi="Liberation Serif"/>
                <w:sz w:val="20"/>
                <w:szCs w:val="20"/>
                <w:lang w:eastAsia="ru-RU"/>
              </w:rPr>
              <w:t>п</w:t>
            </w:r>
            <w:proofErr w:type="gramEnd"/>
            <w:r w:rsidRPr="003A4CF3">
              <w:rPr>
                <w:rFonts w:ascii="Liberation Serif" w:hAnsi="Liberation Serif"/>
                <w:sz w:val="20"/>
                <w:szCs w:val="20"/>
                <w:lang w:eastAsia="ru-RU"/>
              </w:rPr>
              <w:t>/п</w:t>
            </w:r>
          </w:p>
        </w:tc>
        <w:tc>
          <w:tcPr>
            <w:tcW w:w="396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Риск</w:t>
            </w:r>
          </w:p>
        </w:tc>
        <w:tc>
          <w:tcPr>
            <w:tcW w:w="4678"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Вероятность наступления негативного события (последствия)</w:t>
            </w:r>
          </w:p>
        </w:tc>
        <w:tc>
          <w:tcPr>
            <w:tcW w:w="4819" w:type="dxa"/>
            <w:shd w:val="clear" w:color="auto" w:fill="auto"/>
          </w:tcPr>
          <w:p w:rsidR="00403C1B" w:rsidRPr="003A4CF3" w:rsidRDefault="00403C1B"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Значимость риска</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1.</w:t>
            </w:r>
          </w:p>
        </w:tc>
        <w:tc>
          <w:tcPr>
            <w:tcW w:w="3969" w:type="dxa"/>
            <w:shd w:val="clear" w:color="auto" w:fill="auto"/>
          </w:tcPr>
          <w:p w:rsidR="006923CC" w:rsidRPr="003A4CF3" w:rsidRDefault="006923CC" w:rsidP="006923CC">
            <w:pPr>
              <w:spacing w:after="0" w:line="240" w:lineRule="auto"/>
              <w:contextualSpacing/>
              <w:rPr>
                <w:rFonts w:ascii="Liberation Serif" w:hAnsi="Liberation Serif"/>
                <w:sz w:val="20"/>
                <w:szCs w:val="20"/>
                <w:lang w:eastAsia="ru-RU"/>
              </w:rPr>
            </w:pPr>
            <w:r w:rsidRPr="00625EF5">
              <w:rPr>
                <w:rFonts w:ascii="Liberation Serif" w:hAnsi="Liberation Serif"/>
                <w:sz w:val="20"/>
                <w:szCs w:val="20"/>
              </w:rPr>
              <w:t>Планирование закупок товаров, работ, услуг</w:t>
            </w:r>
            <w:r>
              <w:rPr>
                <w:rFonts w:ascii="Liberation Serif" w:hAnsi="Liberation Serif"/>
                <w:sz w:val="20"/>
                <w:szCs w:val="20"/>
              </w:rPr>
              <w:t>.</w:t>
            </w:r>
          </w:p>
        </w:tc>
        <w:tc>
          <w:tcPr>
            <w:tcW w:w="4678" w:type="dxa"/>
            <w:shd w:val="clear" w:color="auto" w:fill="auto"/>
          </w:tcPr>
          <w:p w:rsidR="006923CC" w:rsidRPr="003E362E" w:rsidRDefault="006923CC" w:rsidP="006C1FD4">
            <w:pPr>
              <w:jc w:val="center"/>
              <w:rPr>
                <w:rFonts w:ascii="Liberation Serif" w:hAnsi="Liberation Serif"/>
                <w:sz w:val="20"/>
                <w:szCs w:val="20"/>
              </w:rPr>
            </w:pPr>
            <w:r w:rsidRPr="003E362E">
              <w:rPr>
                <w:rFonts w:ascii="Liberation Serif" w:hAnsi="Liberation Serif"/>
                <w:sz w:val="20"/>
                <w:szCs w:val="20"/>
              </w:rPr>
              <w:t>Низкая частота</w:t>
            </w:r>
          </w:p>
        </w:tc>
        <w:tc>
          <w:tcPr>
            <w:tcW w:w="4819" w:type="dxa"/>
            <w:shd w:val="clear" w:color="auto" w:fill="auto"/>
          </w:tcPr>
          <w:p w:rsidR="006923CC" w:rsidRPr="003E362E" w:rsidRDefault="006923CC" w:rsidP="006C1FD4">
            <w:pPr>
              <w:jc w:val="center"/>
              <w:rPr>
                <w:rFonts w:ascii="Liberation Serif" w:hAnsi="Liberation Serif"/>
                <w:sz w:val="20"/>
                <w:szCs w:val="20"/>
              </w:rPr>
            </w:pPr>
            <w:r w:rsidRPr="003E362E">
              <w:rPr>
                <w:rFonts w:ascii="Liberation Serif" w:hAnsi="Liberation Serif"/>
                <w:sz w:val="20"/>
                <w:szCs w:val="20"/>
              </w:rPr>
              <w:t>Средней тяжести</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2.</w:t>
            </w:r>
          </w:p>
        </w:tc>
        <w:tc>
          <w:tcPr>
            <w:tcW w:w="3969" w:type="dxa"/>
            <w:shd w:val="clear" w:color="auto" w:fill="auto"/>
          </w:tcPr>
          <w:p w:rsidR="006923CC" w:rsidRPr="003A4CF3" w:rsidRDefault="006923CC"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Разработка и составление технического задания (описание объекта закупки).</w:t>
            </w:r>
          </w:p>
        </w:tc>
        <w:tc>
          <w:tcPr>
            <w:tcW w:w="4678" w:type="dxa"/>
            <w:shd w:val="clear" w:color="auto" w:fill="auto"/>
          </w:tcPr>
          <w:p w:rsidR="006923CC" w:rsidRPr="003A4CF3" w:rsidRDefault="006923CC" w:rsidP="00FE7975">
            <w:pPr>
              <w:jc w:val="center"/>
              <w:rPr>
                <w:rFonts w:ascii="Liberation Serif" w:hAnsi="Liberation Serif"/>
                <w:sz w:val="20"/>
                <w:szCs w:val="20"/>
              </w:rPr>
            </w:pPr>
            <w:r w:rsidRPr="003A4CF3">
              <w:rPr>
                <w:rFonts w:ascii="Liberation Serif" w:hAnsi="Liberation Serif"/>
                <w:sz w:val="20"/>
                <w:szCs w:val="20"/>
              </w:rPr>
              <w:t>Низкая частота</w:t>
            </w:r>
          </w:p>
        </w:tc>
        <w:tc>
          <w:tcPr>
            <w:tcW w:w="4819" w:type="dxa"/>
            <w:shd w:val="clear" w:color="auto" w:fill="auto"/>
          </w:tcPr>
          <w:p w:rsidR="006923CC" w:rsidRPr="003A4CF3" w:rsidRDefault="006923CC" w:rsidP="00FE7975">
            <w:pPr>
              <w:jc w:val="center"/>
              <w:rPr>
                <w:rFonts w:ascii="Liberation Serif" w:hAnsi="Liberation Serif"/>
                <w:sz w:val="20"/>
                <w:szCs w:val="20"/>
              </w:rPr>
            </w:pPr>
            <w:r w:rsidRPr="003A4CF3">
              <w:rPr>
                <w:rFonts w:ascii="Liberation Serif" w:hAnsi="Liberation Serif"/>
                <w:sz w:val="20"/>
                <w:szCs w:val="20"/>
              </w:rPr>
              <w:t>Средней тяжести</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lastRenderedPageBreak/>
              <w:t>3.</w:t>
            </w:r>
          </w:p>
        </w:tc>
        <w:tc>
          <w:tcPr>
            <w:tcW w:w="3969" w:type="dxa"/>
            <w:shd w:val="clear" w:color="auto" w:fill="auto"/>
          </w:tcPr>
          <w:p w:rsidR="006923CC" w:rsidRPr="003A4CF3" w:rsidRDefault="006923CC"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Определение начальной (максимальной) цены контракта.</w:t>
            </w:r>
          </w:p>
        </w:tc>
        <w:tc>
          <w:tcPr>
            <w:tcW w:w="4678"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rPr>
              <w:t>Низкая частота</w:t>
            </w:r>
          </w:p>
        </w:tc>
        <w:tc>
          <w:tcPr>
            <w:tcW w:w="4819"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Средней тяжести</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4.</w:t>
            </w:r>
          </w:p>
        </w:tc>
        <w:tc>
          <w:tcPr>
            <w:tcW w:w="3969" w:type="dxa"/>
            <w:shd w:val="clear" w:color="auto" w:fill="auto"/>
          </w:tcPr>
          <w:p w:rsidR="006923CC" w:rsidRPr="003A4CF3" w:rsidRDefault="006923CC"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Выбор способа определения поставщика.</w:t>
            </w:r>
          </w:p>
        </w:tc>
        <w:tc>
          <w:tcPr>
            <w:tcW w:w="4678"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Высокая частота</w:t>
            </w:r>
          </w:p>
        </w:tc>
        <w:tc>
          <w:tcPr>
            <w:tcW w:w="4819"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Значительный</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5.</w:t>
            </w:r>
          </w:p>
        </w:tc>
        <w:tc>
          <w:tcPr>
            <w:tcW w:w="3969" w:type="dxa"/>
            <w:shd w:val="clear" w:color="auto" w:fill="auto"/>
          </w:tcPr>
          <w:p w:rsidR="006923CC" w:rsidRPr="003A4CF3" w:rsidRDefault="006923CC"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Подготовка документации на осуществление закупки товаров, работ, услуг. Размещение извещения и документации на осуществление закупки товаров, работ, услуг.</w:t>
            </w:r>
          </w:p>
        </w:tc>
        <w:tc>
          <w:tcPr>
            <w:tcW w:w="4678"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Низкая частота</w:t>
            </w:r>
          </w:p>
        </w:tc>
        <w:tc>
          <w:tcPr>
            <w:tcW w:w="4819"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Легкий</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6.</w:t>
            </w:r>
          </w:p>
        </w:tc>
        <w:tc>
          <w:tcPr>
            <w:tcW w:w="3969" w:type="dxa"/>
            <w:shd w:val="clear" w:color="auto" w:fill="auto"/>
          </w:tcPr>
          <w:p w:rsidR="006923CC" w:rsidRPr="003A4CF3" w:rsidRDefault="006923CC" w:rsidP="00FE7975">
            <w:pPr>
              <w:spacing w:after="0" w:line="240" w:lineRule="auto"/>
              <w:contextualSpacing/>
              <w:rPr>
                <w:rFonts w:ascii="Liberation Serif" w:hAnsi="Liberation Serif"/>
                <w:sz w:val="20"/>
                <w:szCs w:val="20"/>
                <w:lang w:eastAsia="ru-RU"/>
              </w:rPr>
            </w:pPr>
            <w:r w:rsidRPr="003A4CF3">
              <w:rPr>
                <w:rFonts w:ascii="Liberation Serif" w:hAnsi="Liberation Serif"/>
                <w:sz w:val="20"/>
                <w:szCs w:val="20"/>
                <w:lang w:eastAsia="ru-RU"/>
              </w:rPr>
              <w:t>Прием и рассмотрение заявок (окончательных предложений) на участие в закупке.</w:t>
            </w:r>
          </w:p>
        </w:tc>
        <w:tc>
          <w:tcPr>
            <w:tcW w:w="4678"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Низкая частота</w:t>
            </w:r>
          </w:p>
        </w:tc>
        <w:tc>
          <w:tcPr>
            <w:tcW w:w="4819"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Очень легкий</w:t>
            </w:r>
          </w:p>
        </w:tc>
      </w:tr>
      <w:tr w:rsidR="006923CC" w:rsidRPr="003A4CF3" w:rsidTr="00FE7975">
        <w:tc>
          <w:tcPr>
            <w:tcW w:w="817" w:type="dxa"/>
            <w:shd w:val="clear" w:color="auto" w:fill="auto"/>
          </w:tcPr>
          <w:p w:rsidR="006923CC" w:rsidRPr="003A4CF3" w:rsidRDefault="006923CC" w:rsidP="006808D0">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7.</w:t>
            </w:r>
          </w:p>
        </w:tc>
        <w:tc>
          <w:tcPr>
            <w:tcW w:w="3969" w:type="dxa"/>
            <w:shd w:val="clear" w:color="auto" w:fill="auto"/>
          </w:tcPr>
          <w:p w:rsidR="006923CC" w:rsidRPr="003A4CF3" w:rsidRDefault="006923CC"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Заключение контракта.</w:t>
            </w:r>
          </w:p>
          <w:p w:rsidR="006923CC" w:rsidRPr="003A4CF3" w:rsidRDefault="006923CC" w:rsidP="00FE7975">
            <w:pPr>
              <w:autoSpaceDE w:val="0"/>
              <w:autoSpaceDN w:val="0"/>
              <w:adjustRightInd w:val="0"/>
              <w:spacing w:after="0" w:line="240" w:lineRule="auto"/>
              <w:rPr>
                <w:rFonts w:ascii="Liberation Serif" w:hAnsi="Liberation Serif" w:cs="Liberation Serif"/>
                <w:sz w:val="20"/>
                <w:szCs w:val="20"/>
                <w:lang w:eastAsia="ru-RU"/>
              </w:rPr>
            </w:pPr>
          </w:p>
        </w:tc>
        <w:tc>
          <w:tcPr>
            <w:tcW w:w="4678"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Низкая частота</w:t>
            </w:r>
          </w:p>
        </w:tc>
        <w:tc>
          <w:tcPr>
            <w:tcW w:w="4819"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rPr>
              <w:t>Средней тяжести</w:t>
            </w:r>
          </w:p>
        </w:tc>
      </w:tr>
      <w:tr w:rsidR="006923CC" w:rsidRPr="003A4CF3" w:rsidTr="00FE7975">
        <w:tc>
          <w:tcPr>
            <w:tcW w:w="817"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p>
        </w:tc>
        <w:tc>
          <w:tcPr>
            <w:tcW w:w="3969" w:type="dxa"/>
            <w:shd w:val="clear" w:color="auto" w:fill="auto"/>
          </w:tcPr>
          <w:p w:rsidR="006923CC" w:rsidRPr="003A4CF3" w:rsidRDefault="006923CC" w:rsidP="00FE7975">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Исполнение контрактов. Приемка выполненных работ, оказанных услуг, поставленных товаров.</w:t>
            </w:r>
          </w:p>
        </w:tc>
        <w:tc>
          <w:tcPr>
            <w:tcW w:w="4678"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Высокая частота</w:t>
            </w:r>
          </w:p>
        </w:tc>
        <w:tc>
          <w:tcPr>
            <w:tcW w:w="4819" w:type="dxa"/>
            <w:shd w:val="clear" w:color="auto" w:fill="auto"/>
          </w:tcPr>
          <w:p w:rsidR="006923CC" w:rsidRPr="003A4CF3" w:rsidRDefault="006923CC" w:rsidP="00FE7975">
            <w:pPr>
              <w:spacing w:after="0" w:line="240" w:lineRule="auto"/>
              <w:contextualSpacing/>
              <w:jc w:val="center"/>
              <w:rPr>
                <w:rFonts w:ascii="Liberation Serif" w:hAnsi="Liberation Serif"/>
                <w:sz w:val="20"/>
                <w:szCs w:val="20"/>
                <w:lang w:eastAsia="ru-RU"/>
              </w:rPr>
            </w:pPr>
            <w:r w:rsidRPr="003A4CF3">
              <w:rPr>
                <w:rFonts w:ascii="Liberation Serif" w:hAnsi="Liberation Serif"/>
                <w:sz w:val="20"/>
                <w:szCs w:val="20"/>
                <w:lang w:eastAsia="ru-RU"/>
              </w:rPr>
              <w:t>Средней тяжести</w:t>
            </w:r>
          </w:p>
        </w:tc>
      </w:tr>
    </w:tbl>
    <w:p w:rsidR="00403C1B" w:rsidRPr="003A4CF3" w:rsidRDefault="00403C1B" w:rsidP="00403C1B">
      <w:pPr>
        <w:tabs>
          <w:tab w:val="left" w:pos="3502"/>
        </w:tabs>
        <w:jc w:val="center"/>
        <w:rPr>
          <w:rFonts w:ascii="Liberation Serif" w:hAnsi="Liberation Serif"/>
          <w:sz w:val="20"/>
          <w:szCs w:val="20"/>
          <w:lang w:eastAsia="ru-RU"/>
        </w:rPr>
      </w:pPr>
    </w:p>
    <w:p w:rsidR="005A65B9" w:rsidRDefault="005A65B9"/>
    <w:sectPr w:rsidR="005A65B9" w:rsidSect="00D51033">
      <w:headerReference w:type="default" r:id="rId7"/>
      <w:pgSz w:w="16838" w:h="11906" w:orient="landscape"/>
      <w:pgMar w:top="1701" w:right="1134" w:bottom="850"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44A" w:rsidRDefault="004A644A" w:rsidP="00D51033">
      <w:pPr>
        <w:spacing w:after="0" w:line="240" w:lineRule="auto"/>
      </w:pPr>
      <w:r>
        <w:separator/>
      </w:r>
    </w:p>
  </w:endnote>
  <w:endnote w:type="continuationSeparator" w:id="0">
    <w:p w:rsidR="004A644A" w:rsidRDefault="004A644A" w:rsidP="00D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44A" w:rsidRDefault="004A644A" w:rsidP="00D51033">
      <w:pPr>
        <w:spacing w:after="0" w:line="240" w:lineRule="auto"/>
      </w:pPr>
      <w:r>
        <w:separator/>
      </w:r>
    </w:p>
  </w:footnote>
  <w:footnote w:type="continuationSeparator" w:id="0">
    <w:p w:rsidR="004A644A" w:rsidRDefault="004A644A" w:rsidP="00D510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570345"/>
      <w:docPartObj>
        <w:docPartGallery w:val="Page Numbers (Top of Page)"/>
        <w:docPartUnique/>
      </w:docPartObj>
    </w:sdtPr>
    <w:sdtEndPr/>
    <w:sdtContent>
      <w:p w:rsidR="00D51033" w:rsidRDefault="00D51033">
        <w:pPr>
          <w:pStyle w:val="a3"/>
          <w:jc w:val="center"/>
        </w:pPr>
        <w:r w:rsidRPr="00D51033">
          <w:rPr>
            <w:sz w:val="20"/>
            <w:szCs w:val="20"/>
          </w:rPr>
          <w:fldChar w:fldCharType="begin"/>
        </w:r>
        <w:r w:rsidRPr="00D51033">
          <w:rPr>
            <w:sz w:val="20"/>
            <w:szCs w:val="20"/>
          </w:rPr>
          <w:instrText>PAGE   \* MERGEFORMAT</w:instrText>
        </w:r>
        <w:r w:rsidRPr="00D51033">
          <w:rPr>
            <w:sz w:val="20"/>
            <w:szCs w:val="20"/>
          </w:rPr>
          <w:fldChar w:fldCharType="separate"/>
        </w:r>
        <w:r w:rsidR="001A13F0">
          <w:rPr>
            <w:noProof/>
            <w:sz w:val="20"/>
            <w:szCs w:val="20"/>
          </w:rPr>
          <w:t>2</w:t>
        </w:r>
        <w:r w:rsidRPr="00D51033">
          <w:rPr>
            <w:sz w:val="20"/>
            <w:szCs w:val="20"/>
          </w:rPr>
          <w:fldChar w:fldCharType="end"/>
        </w:r>
      </w:p>
    </w:sdtContent>
  </w:sdt>
  <w:p w:rsidR="00D51033" w:rsidRDefault="00D510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58"/>
    <w:rsid w:val="001A13F0"/>
    <w:rsid w:val="003E16C4"/>
    <w:rsid w:val="003E362E"/>
    <w:rsid w:val="00403C1B"/>
    <w:rsid w:val="00484B58"/>
    <w:rsid w:val="004A644A"/>
    <w:rsid w:val="005A65B9"/>
    <w:rsid w:val="006923CC"/>
    <w:rsid w:val="008E07AA"/>
    <w:rsid w:val="00D51033"/>
    <w:rsid w:val="00EB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C1B"/>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0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1033"/>
    <w:rPr>
      <w:rFonts w:ascii="Times New Roman" w:eastAsia="Calibri" w:hAnsi="Times New Roman" w:cs="Times New Roman"/>
      <w:sz w:val="28"/>
      <w:szCs w:val="28"/>
    </w:rPr>
  </w:style>
  <w:style w:type="paragraph" w:styleId="a5">
    <w:name w:val="footer"/>
    <w:basedOn w:val="a"/>
    <w:link w:val="a6"/>
    <w:uiPriority w:val="99"/>
    <w:unhideWhenUsed/>
    <w:rsid w:val="00D510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51033"/>
    <w:rPr>
      <w:rFonts w:ascii="Times New Roman" w:eastAsia="Calibri" w:hAnsi="Times New Roman" w:cs="Times New Roman"/>
      <w:sz w:val="28"/>
      <w:szCs w:val="28"/>
    </w:rPr>
  </w:style>
  <w:style w:type="paragraph" w:styleId="a7">
    <w:name w:val="Balloon Text"/>
    <w:basedOn w:val="a"/>
    <w:link w:val="a8"/>
    <w:uiPriority w:val="99"/>
    <w:semiHidden/>
    <w:unhideWhenUsed/>
    <w:rsid w:val="003E36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E362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C1B"/>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10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51033"/>
    <w:rPr>
      <w:rFonts w:ascii="Times New Roman" w:eastAsia="Calibri" w:hAnsi="Times New Roman" w:cs="Times New Roman"/>
      <w:sz w:val="28"/>
      <w:szCs w:val="28"/>
    </w:rPr>
  </w:style>
  <w:style w:type="paragraph" w:styleId="a5">
    <w:name w:val="footer"/>
    <w:basedOn w:val="a"/>
    <w:link w:val="a6"/>
    <w:uiPriority w:val="99"/>
    <w:unhideWhenUsed/>
    <w:rsid w:val="00D510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51033"/>
    <w:rPr>
      <w:rFonts w:ascii="Times New Roman" w:eastAsia="Calibri" w:hAnsi="Times New Roman" w:cs="Times New Roman"/>
      <w:sz w:val="28"/>
      <w:szCs w:val="28"/>
    </w:rPr>
  </w:style>
  <w:style w:type="paragraph" w:styleId="a7">
    <w:name w:val="Balloon Text"/>
    <w:basedOn w:val="a"/>
    <w:link w:val="a8"/>
    <w:uiPriority w:val="99"/>
    <w:semiHidden/>
    <w:unhideWhenUsed/>
    <w:rsid w:val="003E36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E362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1986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Настя</cp:lastModifiedBy>
  <cp:revision>5</cp:revision>
  <cp:lastPrinted>2023-01-31T05:44:00Z</cp:lastPrinted>
  <dcterms:created xsi:type="dcterms:W3CDTF">2023-01-26T07:28:00Z</dcterms:created>
  <dcterms:modified xsi:type="dcterms:W3CDTF">2023-01-31T05:45:00Z</dcterms:modified>
</cp:coreProperties>
</file>